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3B33" w14:textId="015FB448" w:rsidR="0040049C" w:rsidRDefault="005E6BB8" w:rsidP="00B27950">
      <w:pPr>
        <w:spacing w:after="0" w:line="240" w:lineRule="auto"/>
        <w:ind w:left="180" w:right="90"/>
        <w:rPr>
          <w:rFonts w:cs="B Nazanin"/>
          <w:bCs/>
          <w:color w:val="FF0000"/>
          <w:sz w:val="34"/>
          <w:szCs w:val="3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eastAsia"/>
          <w:bCs/>
          <w:noProof/>
          <w:color w:val="FF0000"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 wp14:anchorId="0C4F586E" wp14:editId="0442152F">
            <wp:simplePos x="0" y="0"/>
            <wp:positionH relativeFrom="page">
              <wp:posOffset>6554470</wp:posOffset>
            </wp:positionH>
            <wp:positionV relativeFrom="page">
              <wp:posOffset>348615</wp:posOffset>
            </wp:positionV>
            <wp:extent cx="798195" cy="945656"/>
            <wp:effectExtent l="0" t="0" r="190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_e53e707996__7b6ea8f7f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4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643" w:rsidRPr="00AB4408">
        <w:rPr>
          <w:rFonts w:cs="B Nazanin" w:hint="cs"/>
          <w:bCs/>
          <w:color w:val="FF0000"/>
          <w:sz w:val="34"/>
          <w:szCs w:val="3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08B9985" w14:textId="39F72CBA" w:rsidR="009B1353" w:rsidRPr="003D49F0" w:rsidRDefault="009B1353" w:rsidP="00B0600F">
      <w:pPr>
        <w:pStyle w:val="ListParagraph"/>
        <w:tabs>
          <w:tab w:val="left" w:pos="1812"/>
        </w:tabs>
        <w:spacing w:line="240" w:lineRule="auto"/>
        <w:ind w:left="90"/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63"/>
        <w:tblOverlap w:val="never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377"/>
        <w:gridCol w:w="1350"/>
        <w:gridCol w:w="1890"/>
        <w:gridCol w:w="1980"/>
        <w:gridCol w:w="1620"/>
      </w:tblGrid>
      <w:tr w:rsidR="00B0600F" w:rsidRPr="003D49F0" w14:paraId="43F86FC0" w14:textId="77777777" w:rsidTr="00B0600F">
        <w:trPr>
          <w:trHeight w:val="183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C000"/>
            <w:vAlign w:val="bottom"/>
            <w:hideMark/>
          </w:tcPr>
          <w:p w14:paraId="00F7F82C" w14:textId="6E0AE5F4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pacing w:val="-6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pacing w:val="-6"/>
                <w:sz w:val="24"/>
                <w:szCs w:val="24"/>
                <w:rtl/>
              </w:rPr>
              <w:t>*</w:t>
            </w:r>
            <w:r w:rsidR="003E7552" w:rsidRPr="003D49F0">
              <w:rPr>
                <w:rFonts w:ascii="Calibri" w:eastAsia="Calibri" w:hAnsi="Calibri" w:cs="B Mitra" w:hint="cs"/>
                <w:b/>
                <w:bCs/>
                <w:spacing w:val="-6"/>
                <w:sz w:val="24"/>
                <w:szCs w:val="24"/>
                <w:rtl/>
              </w:rPr>
              <w:t xml:space="preserve">جدول شماره (1) </w:t>
            </w:r>
            <w:r w:rsidRPr="003D49F0">
              <w:rPr>
                <w:rFonts w:ascii="Calibri" w:eastAsia="Calibri" w:hAnsi="Calibri" w:cs="B Mitra" w:hint="cs"/>
                <w:b/>
                <w:bCs/>
                <w:spacing w:val="-6"/>
                <w:sz w:val="24"/>
                <w:szCs w:val="24"/>
                <w:rtl/>
              </w:rPr>
              <w:t xml:space="preserve">شرایــط فـــروش/واگـــذاری قســـطی اموال مشاعی و </w:t>
            </w:r>
            <w:r w:rsidR="003E7552" w:rsidRPr="003D49F0">
              <w:rPr>
                <w:rFonts w:ascii="Calibri" w:eastAsia="Calibri" w:hAnsi="Calibri" w:cs="B Mitra" w:hint="cs"/>
                <w:b/>
                <w:bCs/>
                <w:spacing w:val="-6"/>
                <w:sz w:val="24"/>
                <w:szCs w:val="24"/>
                <w:rtl/>
              </w:rPr>
              <w:t xml:space="preserve">اموال </w:t>
            </w:r>
            <w:r w:rsidRPr="003D49F0">
              <w:rPr>
                <w:rFonts w:ascii="Calibri" w:eastAsia="Calibri" w:hAnsi="Calibri" w:cs="B Mitra" w:hint="cs"/>
                <w:b/>
                <w:bCs/>
                <w:spacing w:val="-6"/>
                <w:sz w:val="24"/>
                <w:szCs w:val="24"/>
                <w:rtl/>
              </w:rPr>
              <w:t>متصرفدار*</w:t>
            </w:r>
          </w:p>
        </w:tc>
      </w:tr>
      <w:tr w:rsidR="00B0600F" w:rsidRPr="003D49F0" w14:paraId="102D6409" w14:textId="77777777" w:rsidTr="002206F8">
        <w:trPr>
          <w:trHeight w:val="117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2CE3E255" w14:textId="77777777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3D6EA40E" w14:textId="77777777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کاربری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58988A5F" w14:textId="77777777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پیش پرداخت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6F013DD1" w14:textId="77777777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مدت تنفس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1DAD7CEE" w14:textId="77777777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نحوه باز پرداخت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239E6FA2" w14:textId="45A368F8" w:rsidR="00B0600F" w:rsidRPr="003D49F0" w:rsidRDefault="00B0600F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نرخ سود</w:t>
            </w:r>
            <w:r w:rsidR="00AE4989"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دوران تنفس و تقسیط</w:t>
            </w:r>
          </w:p>
        </w:tc>
      </w:tr>
      <w:tr w:rsidR="003E7552" w:rsidRPr="003D49F0" w14:paraId="37EF42FF" w14:textId="77777777" w:rsidTr="003B75F3">
        <w:trPr>
          <w:trHeight w:val="2145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8635A01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809CB2" w14:textId="3D32A56C" w:rsidR="003E7552" w:rsidRPr="003D49F0" w:rsidRDefault="003E7552" w:rsidP="0041505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کلیه اموال</w:t>
            </w:r>
          </w:p>
          <w:p w14:paraId="1F084BAE" w14:textId="26BB27DA" w:rsidR="003E7552" w:rsidRPr="003D49F0" w:rsidRDefault="003E7552" w:rsidP="00B0600F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با کاربری</w:t>
            </w:r>
            <w:r w:rsidRPr="003D49F0"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  <w:softHyphen/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های صنعتی ، دامداری ، کشاورزی ، زراعی(متصرفدار)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4C2516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حداقل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br/>
              <w:t>10%</w:t>
            </w: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br/>
              <w:t>قیمت واگذاری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376C6C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حداکثر 12 ماه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47443F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حداکثر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48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 ، حداکثر با احتساب دوره تنفس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جمعاً به مدت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(حداکثر)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60 ماه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21D00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نرخ سود معادل "حداکثر نرخ سود مصوب شورای پول و اعتبار" (در حال حاضر 23%)</w:t>
            </w:r>
          </w:p>
        </w:tc>
      </w:tr>
      <w:tr w:rsidR="003E7552" w:rsidRPr="003D49F0" w14:paraId="5E0D4229" w14:textId="77777777" w:rsidTr="003E7552">
        <w:trPr>
          <w:trHeight w:val="192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040D93FF" w14:textId="77F7DF22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F36199" w14:textId="60E226F5" w:rsidR="003E7552" w:rsidRPr="003D49F0" w:rsidRDefault="003E7552" w:rsidP="0041505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کلیه اموال مشاعی (تمام کاربری ها)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6EF3FAC1" w14:textId="4C0F8F54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حداقل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br/>
              <w:t>10%</w:t>
            </w: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br/>
              <w:t>قیمت واگذاری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0E7A597" w14:textId="0F97B00F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حداکثر 12 ماه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C865D9" w14:textId="76C71288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حداکثر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48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 ، حداکثر با احتساب دوره تنفس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جمعاً به مدت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(حداکثر)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60 ماه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F8276D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3E7552" w:rsidRPr="003D49F0" w14:paraId="7CB32D5E" w14:textId="77777777" w:rsidTr="003B75F3">
        <w:trPr>
          <w:trHeight w:val="1938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0858FC34" w14:textId="4E1EE4DD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D006D8" w14:textId="3A83AD4D" w:rsidR="003E7552" w:rsidRPr="003D49F0" w:rsidRDefault="003E7552" w:rsidP="0041505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کلیه اموال با کاربری های مسکونی </w:t>
            </w:r>
            <w:r w:rsidRPr="003D4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تجاری-اداری-خدماتی ششدانگ متصرفدار (به جزء مناطق مستثنا</w:t>
            </w:r>
            <w:r w:rsidR="00412568"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ء*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FA36FE6" w14:textId="783779D9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حداقل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br/>
              <w:t>10%</w:t>
            </w: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br/>
              <w:t>قیمت واگذاری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08A5D0" w14:textId="5447A3F8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حداکثر 12 ماه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2CE25E7" w14:textId="0A019739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حداکثر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48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 ، حداکثر با احتساب دوره تنفس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جمعاً به مدت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(حداکثر)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60 ماه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910D2C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3E7552" w:rsidRPr="003D49F0" w14:paraId="32D2472C" w14:textId="77777777" w:rsidTr="003E7552">
        <w:trPr>
          <w:trHeight w:val="50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2EF03FE1" w14:textId="7A131D60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CF5ABA" w14:textId="79BBF3C4" w:rsidR="003E7552" w:rsidRPr="003D49F0" w:rsidRDefault="003E7552" w:rsidP="0041505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کلیه اموال با کاربری های مسکونی </w:t>
            </w:r>
            <w:r w:rsidRPr="003D4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تجاری </w:t>
            </w:r>
            <w:r w:rsidRPr="003D4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اداری- خدمانی ششدانگ متصرفدار در مناطق مستثنا</w:t>
            </w:r>
            <w:r w:rsidR="00412568"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ء*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AD8700F" w14:textId="266E97BC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حداقل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br/>
              <w:t>20%</w:t>
            </w: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br/>
              <w:t>قیمت واگذاری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4FA4CB" w14:textId="38BCADF2" w:rsidR="003E7552" w:rsidRPr="003D49F0" w:rsidRDefault="003B75F3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حداکثر 12 ماه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720C8A" w14:textId="0619AB7A" w:rsidR="003E7552" w:rsidRPr="003D49F0" w:rsidRDefault="003B75F3" w:rsidP="00B0600F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حداکثر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48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 ، حداکثر با احتساب دوره تنفس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جمعاً به مدت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(حداکثر)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60 ماه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057C94C" w14:textId="77777777" w:rsidR="003E7552" w:rsidRPr="003D49F0" w:rsidRDefault="003E7552" w:rsidP="00B0600F">
            <w:pPr>
              <w:bidi/>
              <w:spacing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</w:tbl>
    <w:p w14:paraId="43A1866D" w14:textId="76850F41" w:rsidR="00B0600F" w:rsidRPr="003D49F0" w:rsidRDefault="00B0600F" w:rsidP="00B0600F">
      <w:pPr>
        <w:tabs>
          <w:tab w:val="left" w:pos="1812"/>
          <w:tab w:val="left" w:pos="8115"/>
        </w:tabs>
        <w:spacing w:line="240" w:lineRule="auto"/>
        <w:rPr>
          <w:rFonts w:cs="B Mitra"/>
          <w:sz w:val="28"/>
          <w:szCs w:val="28"/>
          <w:rtl/>
          <w:lang w:bidi="fa-IR"/>
        </w:rPr>
      </w:pPr>
    </w:p>
    <w:p w14:paraId="54C9A302" w14:textId="77777777" w:rsidR="003B75F3" w:rsidRPr="003D49F0" w:rsidRDefault="003B75F3" w:rsidP="00B0600F">
      <w:pPr>
        <w:tabs>
          <w:tab w:val="left" w:pos="1812"/>
          <w:tab w:val="left" w:pos="8115"/>
        </w:tabs>
        <w:spacing w:line="240" w:lineRule="auto"/>
        <w:rPr>
          <w:rFonts w:cs="B Mitra"/>
          <w:sz w:val="28"/>
          <w:szCs w:val="28"/>
          <w:rtl/>
          <w:lang w:bidi="fa-IR"/>
        </w:rPr>
      </w:pPr>
    </w:p>
    <w:p w14:paraId="6F5D9389" w14:textId="77777777" w:rsidR="003B75F3" w:rsidRPr="003D49F0" w:rsidRDefault="003B75F3" w:rsidP="00B0600F">
      <w:pPr>
        <w:tabs>
          <w:tab w:val="left" w:pos="1812"/>
          <w:tab w:val="left" w:pos="8115"/>
        </w:tabs>
        <w:spacing w:line="240" w:lineRule="auto"/>
        <w:rPr>
          <w:rFonts w:cs="B Mitra"/>
          <w:sz w:val="28"/>
          <w:szCs w:val="28"/>
          <w:rtl/>
          <w:lang w:bidi="fa-IR"/>
        </w:rPr>
      </w:pPr>
    </w:p>
    <w:p w14:paraId="2072BA59" w14:textId="77777777" w:rsidR="003B75F3" w:rsidRPr="003D49F0" w:rsidRDefault="003B75F3" w:rsidP="00B0600F">
      <w:pPr>
        <w:tabs>
          <w:tab w:val="left" w:pos="1812"/>
          <w:tab w:val="left" w:pos="8115"/>
        </w:tabs>
        <w:spacing w:line="240" w:lineRule="auto"/>
        <w:rPr>
          <w:rFonts w:cs="B Mitra"/>
          <w:sz w:val="28"/>
          <w:szCs w:val="28"/>
          <w:rtl/>
          <w:lang w:bidi="fa-IR"/>
        </w:rPr>
      </w:pPr>
    </w:p>
    <w:p w14:paraId="476B02B2" w14:textId="77777777" w:rsidR="003B75F3" w:rsidRPr="003D49F0" w:rsidRDefault="003B75F3" w:rsidP="00B0600F">
      <w:pPr>
        <w:tabs>
          <w:tab w:val="left" w:pos="1812"/>
          <w:tab w:val="left" w:pos="8115"/>
        </w:tabs>
        <w:spacing w:line="240" w:lineRule="auto"/>
        <w:rPr>
          <w:rFonts w:cs="B Mitra"/>
          <w:sz w:val="28"/>
          <w:szCs w:val="28"/>
          <w:lang w:bidi="fa-IR"/>
        </w:rPr>
      </w:pPr>
    </w:p>
    <w:tbl>
      <w:tblPr>
        <w:tblpPr w:leftFromText="180" w:rightFromText="180" w:bottomFromText="160" w:vertAnchor="text" w:horzAnchor="margin" w:tblpXSpec="center" w:tblpY="76"/>
        <w:tblOverlap w:val="never"/>
        <w:bidiVisual/>
        <w:tblW w:w="98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2523"/>
        <w:gridCol w:w="1522"/>
        <w:gridCol w:w="1350"/>
        <w:gridCol w:w="2329"/>
        <w:gridCol w:w="1701"/>
      </w:tblGrid>
      <w:tr w:rsidR="009B1353" w:rsidRPr="003D49F0" w14:paraId="361971C7" w14:textId="77777777" w:rsidTr="00F867DB">
        <w:trPr>
          <w:trHeight w:val="183"/>
        </w:trPr>
        <w:tc>
          <w:tcPr>
            <w:tcW w:w="98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C000"/>
            <w:vAlign w:val="bottom"/>
            <w:hideMark/>
          </w:tcPr>
          <w:p w14:paraId="468D4EEB" w14:textId="6C094E3B" w:rsidR="009B1353" w:rsidRPr="003D49F0" w:rsidRDefault="009B135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pacing w:val="-6"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>*</w:t>
            </w:r>
            <w:r w:rsidR="0034066A" w:rsidRPr="003D49F0">
              <w:rPr>
                <w:rFonts w:ascii="Calibri" w:eastAsia="Times New Roman" w:hAnsi="Calibri" w:cs="B Mitra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 xml:space="preserve">جدول شماره (2) </w:t>
            </w:r>
            <w:r w:rsidRPr="003D49F0">
              <w:rPr>
                <w:rFonts w:ascii="Calibri" w:eastAsia="Times New Roman" w:hAnsi="Calibri" w:cs="B Mitra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 xml:space="preserve">شرایـــط فـــروش/واگـــذاری </w:t>
            </w:r>
            <w:r w:rsidR="00412568" w:rsidRPr="003D49F0">
              <w:rPr>
                <w:rFonts w:ascii="Calibri" w:eastAsia="Times New Roman" w:hAnsi="Calibri" w:cs="B Mitra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>اموال تخلیه</w:t>
            </w:r>
            <w:r w:rsidRPr="003D49F0">
              <w:rPr>
                <w:rFonts w:ascii="Calibri" w:eastAsia="Times New Roman" w:hAnsi="Calibri" w:cs="B Mitra" w:hint="cs"/>
                <w:b/>
                <w:bCs/>
                <w:spacing w:val="-6"/>
                <w:sz w:val="28"/>
                <w:szCs w:val="28"/>
                <w:rtl/>
                <w:lang w:bidi="fa-IR"/>
              </w:rPr>
              <w:t xml:space="preserve"> *</w:t>
            </w:r>
          </w:p>
        </w:tc>
      </w:tr>
      <w:tr w:rsidR="009B1353" w:rsidRPr="003D49F0" w14:paraId="39818CFE" w14:textId="77777777" w:rsidTr="00F867DB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092EA20F" w14:textId="77777777" w:rsidR="009B1353" w:rsidRPr="003D49F0" w:rsidRDefault="009B135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5D0BC6DB" w14:textId="77777777" w:rsidR="009B1353" w:rsidRPr="003D49F0" w:rsidRDefault="009B135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  <w:lang w:bidi="fa-IR"/>
              </w:rPr>
              <w:t>کاربری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27D89C3F" w14:textId="77777777" w:rsidR="009B1353" w:rsidRPr="003D49F0" w:rsidRDefault="009B135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  <w:lang w:bidi="fa-IR"/>
              </w:rPr>
              <w:t>پیش پرداخت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3BEEEAD0" w14:textId="77777777" w:rsidR="009B1353" w:rsidRPr="003D49F0" w:rsidRDefault="009B135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مدت تنفس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57B303CE" w14:textId="77777777" w:rsidR="009B1353" w:rsidRPr="003D49F0" w:rsidRDefault="009B135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  <w:lang w:bidi="fa-IR"/>
              </w:rPr>
              <w:t>نحوه باز پرداخت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09A5D24D" w14:textId="676B32D6" w:rsidR="009B1353" w:rsidRPr="003D49F0" w:rsidRDefault="00AE498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  <w:lang w:bidi="fa-IR"/>
              </w:rPr>
              <w:t>نرخ سود دوران تنفس و تقس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D49F0">
              <w:rPr>
                <w:rFonts w:ascii="Calibri" w:eastAsia="Times New Roman" w:hAnsi="Calibri" w:cs="B Mitra" w:hint="eastAsia"/>
                <w:b/>
                <w:bCs/>
                <w:sz w:val="28"/>
                <w:szCs w:val="28"/>
                <w:rtl/>
                <w:lang w:bidi="fa-IR"/>
              </w:rPr>
              <w:t>ط</w:t>
            </w:r>
          </w:p>
        </w:tc>
      </w:tr>
      <w:tr w:rsidR="00412568" w:rsidRPr="003D49F0" w14:paraId="3C42E216" w14:textId="77777777" w:rsidTr="003D49F0">
        <w:trPr>
          <w:trHeight w:val="2623"/>
        </w:trPr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0ACEE1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2"/>
                <w:szCs w:val="32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58B190" w14:textId="77777777" w:rsidR="00412568" w:rsidRPr="003D49F0" w:rsidRDefault="00412568" w:rsidP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کلیه اموال</w:t>
            </w:r>
          </w:p>
          <w:p w14:paraId="1E453DE9" w14:textId="2CA0CCD6" w:rsidR="00412568" w:rsidRPr="003D49F0" w:rsidRDefault="00412568" w:rsidP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با کاربری</w:t>
            </w:r>
            <w:r w:rsidRPr="003D49F0"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  <w:softHyphen/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های صنعتی ، دامداری ، کشاورزی ، زراعی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64C326" w14:textId="07170DD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36"/>
                <w:szCs w:val="36"/>
                <w:rtl/>
                <w:lang w:bidi="fa-IR"/>
              </w:rPr>
              <w:t>حداقل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6"/>
                <w:szCs w:val="36"/>
                <w:rtl/>
                <w:lang w:bidi="fa-IR"/>
              </w:rPr>
              <w:br/>
              <w:t xml:space="preserve">%10 </w:t>
            </w: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br/>
              <w:t>قیمت واگذری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9F68C9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حداکثر   </w:t>
            </w:r>
          </w:p>
          <w:p w14:paraId="0B83DB03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36"/>
                <w:szCs w:val="36"/>
                <w:rtl/>
                <w:lang w:bidi="fa-IR"/>
              </w:rPr>
              <w:t>12 ماه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5BC75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حداکثر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2"/>
                <w:szCs w:val="32"/>
                <w:rtl/>
                <w:lang w:bidi="fa-IR"/>
              </w:rPr>
              <w:t>48 ماه</w:t>
            </w: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 اقساط متوالی ماهیانه ، حداکثر با احتساب دوره تنفس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2"/>
                <w:szCs w:val="32"/>
                <w:rtl/>
                <w:lang w:bidi="fa-IR"/>
              </w:rPr>
              <w:t>جمعاً به مدت</w:t>
            </w:r>
            <w:r w:rsidRPr="003D49F0">
              <w:rPr>
                <w:rFonts w:ascii="Calibri" w:eastAsia="Times New Roman" w:hAnsi="Calibri" w:cs="B Mitra" w:hint="cs"/>
                <w:sz w:val="32"/>
                <w:szCs w:val="32"/>
                <w:rtl/>
                <w:lang w:bidi="fa-IR"/>
              </w:rPr>
              <w:t>(حداکثر)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60 ماه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CBC174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نرخ سود معادل </w:t>
            </w:r>
          </w:p>
          <w:p w14:paraId="42C936AA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"حداکثر نرخ سود مصوب شورای پول و اعتبار" (در حال حاضر 23%)</w:t>
            </w:r>
          </w:p>
        </w:tc>
      </w:tr>
      <w:tr w:rsidR="003D49F0" w:rsidRPr="003D49F0" w14:paraId="583B65B1" w14:textId="77777777" w:rsidTr="003D49F0">
        <w:trPr>
          <w:trHeight w:val="2499"/>
        </w:trPr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752AE476" w14:textId="20340D66" w:rsidR="003D49F0" w:rsidRP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2"/>
                <w:szCs w:val="32"/>
                <w:rtl/>
                <w:lang w:bidi="fa-IR"/>
              </w:rPr>
            </w:pPr>
            <w:r w:rsidRPr="003D49F0">
              <w:rPr>
                <w:rFonts w:ascii="Calibri" w:eastAsia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8B6B9F" w14:textId="3BA0B7F5" w:rsidR="003D49F0" w:rsidRP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کلیه اموال مشاعی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(تمام کاربری ها)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44AC63D7" w14:textId="05C90CF8" w:rsidR="003D49F0" w:rsidRP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6"/>
                <w:szCs w:val="36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36"/>
                <w:szCs w:val="36"/>
                <w:rtl/>
                <w:lang w:bidi="fa-IR"/>
              </w:rPr>
              <w:t xml:space="preserve">حداقل </w:t>
            </w:r>
            <w:r w:rsidRPr="003D49F0">
              <w:rPr>
                <w:rFonts w:ascii="Calibri" w:eastAsia="Times New Roman" w:hAnsi="Calibri" w:cs="B Mitra" w:hint="cs"/>
                <w:sz w:val="36"/>
                <w:szCs w:val="36"/>
                <w:rtl/>
                <w:lang w:bidi="fa-IR"/>
              </w:rPr>
              <w:br/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6"/>
                <w:szCs w:val="36"/>
                <w:rtl/>
                <w:lang w:bidi="fa-IR"/>
              </w:rPr>
              <w:t>10%</w:t>
            </w:r>
            <w:r w:rsidRPr="003D49F0">
              <w:rPr>
                <w:rFonts w:ascii="Calibri" w:eastAsia="Times New Roman" w:hAnsi="Calibri" w:cs="B Mitra" w:hint="cs"/>
                <w:sz w:val="36"/>
                <w:szCs w:val="36"/>
                <w:rtl/>
                <w:lang w:bidi="fa-IR"/>
              </w:rPr>
              <w:br/>
            </w: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قیمت واگذاری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018CDA" w14:textId="77777777" w:rsid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حداکثر</w:t>
            </w:r>
          </w:p>
          <w:p w14:paraId="247F07F9" w14:textId="538552DF" w:rsidR="003D49F0" w:rsidRP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36"/>
                <w:szCs w:val="36"/>
                <w:rtl/>
                <w:lang w:bidi="fa-IR"/>
              </w:rPr>
            </w:pPr>
            <w:r w:rsidRPr="003D49F0">
              <w:rPr>
                <w:rFonts w:ascii="Calibri" w:eastAsia="Calibri" w:hAnsi="Calibri" w:cs="B Mitra" w:hint="cs"/>
                <w:b/>
                <w:bCs/>
                <w:sz w:val="36"/>
                <w:szCs w:val="36"/>
                <w:rtl/>
              </w:rPr>
              <w:t xml:space="preserve"> 12 ماه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8619F45" w14:textId="503A4268" w:rsidR="003D49F0" w:rsidRP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حداکثر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48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 ، حداکثر با احتساب دوره تنفس 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جمعاً به مدت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(حداکثر)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60 ماه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27DC4E" w14:textId="77777777" w:rsidR="003D49F0" w:rsidRPr="003D49F0" w:rsidRDefault="003D49F0" w:rsidP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</w:p>
        </w:tc>
      </w:tr>
      <w:tr w:rsidR="00412568" w:rsidRPr="003D49F0" w14:paraId="0E8D32FC" w14:textId="77777777" w:rsidTr="003D49F0">
        <w:trPr>
          <w:trHeight w:val="2160"/>
        </w:trPr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05F33C97" w14:textId="6EC643C3" w:rsidR="00412568" w:rsidRPr="003D49F0" w:rsidRDefault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2"/>
                <w:szCs w:val="32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F6815B1" w14:textId="481F3338" w:rsidR="00412568" w:rsidRPr="003D49F0" w:rsidRDefault="00412568" w:rsidP="00B0600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کلیه اموال با کاربری های مسکونی </w:t>
            </w:r>
            <w:r w:rsidRPr="003D4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تجاری-اداری-خدماتی ششدانگ (به جزء مناطق مستثناء)*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371500EA" w14:textId="2B3CAF1E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6"/>
                <w:szCs w:val="36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ا</w:t>
            </w:r>
            <w:r w:rsidRPr="003D49F0">
              <w:rPr>
                <w:rFonts w:ascii="Calibri" w:eastAsia="Times New Roman" w:hAnsi="Calibri" w:cs="B Mitra" w:hint="cs"/>
                <w:sz w:val="36"/>
                <w:szCs w:val="36"/>
                <w:rtl/>
                <w:lang w:bidi="fa-IR"/>
              </w:rPr>
              <w:t>حداقل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6"/>
                <w:szCs w:val="36"/>
                <w:rtl/>
                <w:lang w:bidi="fa-IR"/>
              </w:rPr>
              <w:br/>
              <w:t xml:space="preserve">%30 </w:t>
            </w: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br/>
              <w:t>قیمت واگذری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D0F423" w14:textId="2C3B8868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بدون مهلت تنفس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A32C877" w14:textId="63AC88B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حداکثر </w:t>
            </w:r>
            <w:r w:rsidRPr="003D49F0">
              <w:rPr>
                <w:rFonts w:ascii="Calibri" w:eastAsia="Times New Roman" w:hAnsi="Calibri" w:cs="B Mitra" w:hint="cs"/>
                <w:sz w:val="32"/>
                <w:szCs w:val="32"/>
                <w:rtl/>
                <w:lang w:bidi="fa-IR"/>
              </w:rPr>
              <w:t>60 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 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4170B1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</w:p>
        </w:tc>
      </w:tr>
      <w:tr w:rsidR="00412568" w:rsidRPr="003D49F0" w14:paraId="1EA5133B" w14:textId="77777777" w:rsidTr="003D49F0">
        <w:trPr>
          <w:trHeight w:val="3054"/>
        </w:trPr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444305CE" w14:textId="133C3056" w:rsidR="00412568" w:rsidRPr="003D49F0" w:rsidRDefault="003D49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2"/>
                <w:szCs w:val="32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32"/>
                <w:szCs w:val="32"/>
                <w:rtl/>
                <w:lang w:bidi="fa-IR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A428A6C" w14:textId="43EBD2A6" w:rsidR="00412568" w:rsidRPr="003D49F0" w:rsidRDefault="00412568" w:rsidP="00B0600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کلیه اموال با کاربری های مسکونی </w:t>
            </w:r>
            <w:r w:rsidRPr="003D4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تجاری </w:t>
            </w:r>
            <w:r w:rsidRPr="003D49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اداری- خدمانی ششدانگ در مناطق مستثناء*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45C5423A" w14:textId="546A02D0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36"/>
                <w:szCs w:val="36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ا</w:t>
            </w:r>
            <w:r w:rsidRPr="003D49F0">
              <w:rPr>
                <w:rFonts w:ascii="Calibri" w:eastAsia="Times New Roman" w:hAnsi="Calibri" w:cs="B Mitra" w:hint="cs"/>
                <w:sz w:val="36"/>
                <w:szCs w:val="36"/>
                <w:rtl/>
                <w:lang w:bidi="fa-IR"/>
              </w:rPr>
              <w:t>حداقل</w:t>
            </w:r>
            <w:r w:rsidRPr="003D49F0">
              <w:rPr>
                <w:rFonts w:ascii="Calibri" w:eastAsia="Times New Roman" w:hAnsi="Calibri" w:cs="B Mitra" w:hint="cs"/>
                <w:b/>
                <w:bCs/>
                <w:sz w:val="36"/>
                <w:szCs w:val="36"/>
                <w:rtl/>
                <w:lang w:bidi="fa-IR"/>
              </w:rPr>
              <w:br/>
              <w:t xml:space="preserve">%30 </w:t>
            </w:r>
            <w:r w:rsidRPr="003D49F0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br/>
              <w:t>قیمت واگذری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8A819D" w14:textId="0613392A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بدون مهلت تنفس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9B3602" w14:textId="2325324A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حداکثر  </w:t>
            </w:r>
            <w:r w:rsidRPr="003D49F0">
              <w:rPr>
                <w:rFonts w:ascii="Calibri" w:eastAsia="Times New Roman" w:hAnsi="Calibri" w:cs="B Mitra" w:hint="cs"/>
                <w:sz w:val="32"/>
                <w:szCs w:val="32"/>
                <w:rtl/>
                <w:lang w:bidi="fa-IR"/>
              </w:rPr>
              <w:t>48 ماه</w:t>
            </w:r>
            <w:r w:rsidRPr="003D49F0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اقساط متوالی ماهیانه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C73B9A1" w14:textId="77777777" w:rsidR="00412568" w:rsidRPr="003D49F0" w:rsidRDefault="0041256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415A04B1" w14:textId="595F5971" w:rsidR="00B0600F" w:rsidRPr="003D49F0" w:rsidRDefault="00E4272B" w:rsidP="00B82DBA">
      <w:pPr>
        <w:pStyle w:val="ListParagraph"/>
        <w:numPr>
          <w:ilvl w:val="0"/>
          <w:numId w:val="4"/>
        </w:numPr>
        <w:bidi/>
        <w:spacing w:after="0" w:line="240" w:lineRule="auto"/>
        <w:ind w:right="-180"/>
        <w:jc w:val="both"/>
        <w:rPr>
          <w:rFonts w:cs="B Mitra"/>
          <w:sz w:val="28"/>
          <w:szCs w:val="28"/>
          <w:lang w:bidi="fa-IR"/>
        </w:rPr>
      </w:pPr>
      <w:r w:rsidRPr="003D49F0">
        <w:rPr>
          <w:rFonts w:cs="B Mitra" w:hint="cs"/>
          <w:sz w:val="28"/>
          <w:szCs w:val="28"/>
          <w:rtl/>
          <w:lang w:bidi="fa-IR"/>
        </w:rPr>
        <w:lastRenderedPageBreak/>
        <w:t xml:space="preserve">الف - </w:t>
      </w:r>
      <w:r w:rsidR="00412568" w:rsidRPr="003D49F0">
        <w:rPr>
          <w:rFonts w:cs="B Mitra" w:hint="cs"/>
          <w:sz w:val="28"/>
          <w:szCs w:val="28"/>
          <w:rtl/>
          <w:lang w:bidi="fa-IR"/>
        </w:rPr>
        <w:t>منظور از مناطق مستثناء در جداول ( 1 و 2 ) فوق شامل محدوده جغرافیایی کلان شهرهای تهران ، کرج ، مشهد ، تبریز  شیراز ، اصفهان و قم و محدوده جغرافیایی استان</w:t>
      </w:r>
      <w:r w:rsidR="00B82DBA">
        <w:rPr>
          <w:rFonts w:cs="B Mitra" w:hint="cs"/>
          <w:sz w:val="28"/>
          <w:szCs w:val="28"/>
          <w:rtl/>
          <w:lang w:bidi="fa-IR"/>
        </w:rPr>
        <w:t xml:space="preserve"> </w:t>
      </w:r>
      <w:r w:rsidR="00412568" w:rsidRPr="003D49F0">
        <w:rPr>
          <w:rFonts w:cs="B Mitra" w:hint="cs"/>
          <w:sz w:val="28"/>
          <w:szCs w:val="28"/>
          <w:rtl/>
          <w:lang w:bidi="fa-IR"/>
        </w:rPr>
        <w:t>های مازندران و گیلان می</w:t>
      </w:r>
      <w:r w:rsidR="00412568" w:rsidRPr="003D49F0">
        <w:rPr>
          <w:rFonts w:cs="B Mitra"/>
          <w:sz w:val="28"/>
          <w:szCs w:val="28"/>
          <w:rtl/>
          <w:lang w:bidi="fa-IR"/>
        </w:rPr>
        <w:softHyphen/>
      </w:r>
      <w:r w:rsidR="00412568" w:rsidRPr="003D49F0">
        <w:rPr>
          <w:rFonts w:cs="B Mitra" w:hint="cs"/>
          <w:sz w:val="28"/>
          <w:szCs w:val="28"/>
          <w:rtl/>
          <w:lang w:bidi="fa-IR"/>
        </w:rPr>
        <w:t>باشد .</w:t>
      </w:r>
    </w:p>
    <w:p w14:paraId="7826CFE8" w14:textId="27CCDF1C" w:rsidR="00E4272B" w:rsidRDefault="00E4272B" w:rsidP="00B82DBA">
      <w:pPr>
        <w:pStyle w:val="ListParagraph"/>
        <w:numPr>
          <w:ilvl w:val="0"/>
          <w:numId w:val="4"/>
        </w:numPr>
        <w:bidi/>
        <w:spacing w:after="0" w:line="240" w:lineRule="auto"/>
        <w:ind w:right="-180"/>
        <w:jc w:val="both"/>
        <w:rPr>
          <w:rFonts w:cs="B Mitra"/>
          <w:sz w:val="28"/>
          <w:szCs w:val="28"/>
          <w:lang w:bidi="fa-IR"/>
        </w:rPr>
      </w:pPr>
      <w:r w:rsidRPr="003D49F0">
        <w:rPr>
          <w:rFonts w:cs="B Mitra" w:hint="cs"/>
          <w:sz w:val="28"/>
          <w:szCs w:val="28"/>
          <w:rtl/>
          <w:lang w:bidi="fa-IR"/>
        </w:rPr>
        <w:t xml:space="preserve">ب </w:t>
      </w:r>
      <w:r w:rsidRPr="003D49F0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3D49F0">
        <w:rPr>
          <w:rFonts w:cs="B Mitra" w:hint="cs"/>
          <w:sz w:val="28"/>
          <w:szCs w:val="28"/>
          <w:rtl/>
          <w:lang w:bidi="fa-IR"/>
        </w:rPr>
        <w:t xml:space="preserve"> برای همه اموال تملیکی و مازاد در هر ارزیابی ، اولین عرضه در مزایده به صورت نقدی انجام و در مزایده های بعدی ، اموال مزبور با شرایط </w:t>
      </w:r>
      <w:r w:rsidR="00B82DBA">
        <w:rPr>
          <w:rFonts w:cs="B Mitra" w:hint="cs"/>
          <w:sz w:val="28"/>
          <w:szCs w:val="28"/>
          <w:rtl/>
          <w:lang w:bidi="fa-IR"/>
        </w:rPr>
        <w:t>مندرج در جدول فوق عرضه خواهد شد.</w:t>
      </w:r>
    </w:p>
    <w:p w14:paraId="204CA878" w14:textId="77777777" w:rsidR="00CF1001" w:rsidRDefault="00CF1001" w:rsidP="00CF1001">
      <w:pPr>
        <w:bidi/>
        <w:spacing w:after="0" w:line="240" w:lineRule="auto"/>
        <w:ind w:right="-180"/>
        <w:jc w:val="both"/>
        <w:rPr>
          <w:rFonts w:cs="B Mitra"/>
          <w:sz w:val="28"/>
          <w:szCs w:val="28"/>
          <w:rtl/>
          <w:lang w:bidi="fa-IR"/>
        </w:rPr>
      </w:pPr>
    </w:p>
    <w:p w14:paraId="6AFA565A" w14:textId="77777777" w:rsidR="00CF1001" w:rsidRDefault="00CF1001" w:rsidP="00CF1001">
      <w:pPr>
        <w:bidi/>
        <w:spacing w:after="0" w:line="240" w:lineRule="auto"/>
        <w:ind w:right="-180"/>
        <w:jc w:val="both"/>
        <w:rPr>
          <w:rFonts w:cs="B Mitra"/>
          <w:sz w:val="28"/>
          <w:szCs w:val="28"/>
          <w:rtl/>
          <w:lang w:bidi="fa-IR"/>
        </w:rPr>
      </w:pPr>
    </w:p>
    <w:sectPr w:rsidR="00CF1001" w:rsidSect="00B0600F">
      <w:pgSz w:w="12240" w:h="15840"/>
      <w:pgMar w:top="990" w:right="1440" w:bottom="63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01E5F" w14:textId="77777777" w:rsidR="00743971" w:rsidRDefault="00743971" w:rsidP="00E844AF">
      <w:pPr>
        <w:spacing w:after="0" w:line="240" w:lineRule="auto"/>
      </w:pPr>
      <w:r>
        <w:separator/>
      </w:r>
    </w:p>
  </w:endnote>
  <w:endnote w:type="continuationSeparator" w:id="0">
    <w:p w14:paraId="738278F1" w14:textId="77777777" w:rsidR="00743971" w:rsidRDefault="00743971" w:rsidP="00E8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2F3B" w14:textId="77777777" w:rsidR="00743971" w:rsidRDefault="00743971" w:rsidP="00E844AF">
      <w:pPr>
        <w:spacing w:after="0" w:line="240" w:lineRule="auto"/>
      </w:pPr>
      <w:r>
        <w:separator/>
      </w:r>
    </w:p>
  </w:footnote>
  <w:footnote w:type="continuationSeparator" w:id="0">
    <w:p w14:paraId="71C8B1D3" w14:textId="77777777" w:rsidR="00743971" w:rsidRDefault="00743971" w:rsidP="00E8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55469"/>
    <w:multiLevelType w:val="hybridMultilevel"/>
    <w:tmpl w:val="66847666"/>
    <w:lvl w:ilvl="0" w:tplc="7D36F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67E9"/>
    <w:multiLevelType w:val="hybridMultilevel"/>
    <w:tmpl w:val="A7E22B86"/>
    <w:lvl w:ilvl="0" w:tplc="9EE42722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520B8"/>
    <w:multiLevelType w:val="hybridMultilevel"/>
    <w:tmpl w:val="861C51EA"/>
    <w:lvl w:ilvl="0" w:tplc="FFE8F65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B"/>
    <w:rsid w:val="00003660"/>
    <w:rsid w:val="00014AAF"/>
    <w:rsid w:val="0007259C"/>
    <w:rsid w:val="00090530"/>
    <w:rsid w:val="000B0B6D"/>
    <w:rsid w:val="000C629E"/>
    <w:rsid w:val="000E4265"/>
    <w:rsid w:val="000E5E13"/>
    <w:rsid w:val="000F4B58"/>
    <w:rsid w:val="0010087E"/>
    <w:rsid w:val="00101EF8"/>
    <w:rsid w:val="001507EB"/>
    <w:rsid w:val="001837BF"/>
    <w:rsid w:val="001874D4"/>
    <w:rsid w:val="00187C6E"/>
    <w:rsid w:val="001914A7"/>
    <w:rsid w:val="00196C77"/>
    <w:rsid w:val="001A4FD0"/>
    <w:rsid w:val="001E13EA"/>
    <w:rsid w:val="001E580A"/>
    <w:rsid w:val="00203E5B"/>
    <w:rsid w:val="00207854"/>
    <w:rsid w:val="002206F8"/>
    <w:rsid w:val="00220702"/>
    <w:rsid w:val="00221FF0"/>
    <w:rsid w:val="0023092A"/>
    <w:rsid w:val="002325A3"/>
    <w:rsid w:val="002364F9"/>
    <w:rsid w:val="00247F3F"/>
    <w:rsid w:val="002507F3"/>
    <w:rsid w:val="002520EE"/>
    <w:rsid w:val="002809B4"/>
    <w:rsid w:val="00292DBB"/>
    <w:rsid w:val="002A0F21"/>
    <w:rsid w:val="002B571D"/>
    <w:rsid w:val="002C6E04"/>
    <w:rsid w:val="002D207E"/>
    <w:rsid w:val="0032248F"/>
    <w:rsid w:val="00324073"/>
    <w:rsid w:val="00333DB0"/>
    <w:rsid w:val="0034066A"/>
    <w:rsid w:val="003418D1"/>
    <w:rsid w:val="00353F1F"/>
    <w:rsid w:val="00364153"/>
    <w:rsid w:val="003A2B12"/>
    <w:rsid w:val="003B75F3"/>
    <w:rsid w:val="003C40DF"/>
    <w:rsid w:val="003D2BF2"/>
    <w:rsid w:val="003D49F0"/>
    <w:rsid w:val="003E7552"/>
    <w:rsid w:val="003F4AAF"/>
    <w:rsid w:val="0040049C"/>
    <w:rsid w:val="00404188"/>
    <w:rsid w:val="0040498B"/>
    <w:rsid w:val="004104DB"/>
    <w:rsid w:val="00412568"/>
    <w:rsid w:val="0041505E"/>
    <w:rsid w:val="004157A0"/>
    <w:rsid w:val="004327F7"/>
    <w:rsid w:val="00480440"/>
    <w:rsid w:val="00486654"/>
    <w:rsid w:val="004A5D64"/>
    <w:rsid w:val="004D6506"/>
    <w:rsid w:val="004D7C51"/>
    <w:rsid w:val="004E3FDA"/>
    <w:rsid w:val="004E4F19"/>
    <w:rsid w:val="004F766F"/>
    <w:rsid w:val="00514FE9"/>
    <w:rsid w:val="00542AAD"/>
    <w:rsid w:val="00596C8C"/>
    <w:rsid w:val="005A3CB2"/>
    <w:rsid w:val="005A7064"/>
    <w:rsid w:val="005D3CAC"/>
    <w:rsid w:val="005E6BB8"/>
    <w:rsid w:val="00660597"/>
    <w:rsid w:val="0068288B"/>
    <w:rsid w:val="00696E63"/>
    <w:rsid w:val="006A26AC"/>
    <w:rsid w:val="006A3937"/>
    <w:rsid w:val="006A52E7"/>
    <w:rsid w:val="006B584C"/>
    <w:rsid w:val="006E3EE2"/>
    <w:rsid w:val="0070144E"/>
    <w:rsid w:val="0070568B"/>
    <w:rsid w:val="00726A56"/>
    <w:rsid w:val="00731AD8"/>
    <w:rsid w:val="007369A1"/>
    <w:rsid w:val="00743971"/>
    <w:rsid w:val="00763DDC"/>
    <w:rsid w:val="00785371"/>
    <w:rsid w:val="007A2627"/>
    <w:rsid w:val="007C05CF"/>
    <w:rsid w:val="007C6523"/>
    <w:rsid w:val="007F50A6"/>
    <w:rsid w:val="00803C32"/>
    <w:rsid w:val="00807F75"/>
    <w:rsid w:val="00823831"/>
    <w:rsid w:val="00840EAE"/>
    <w:rsid w:val="008425FF"/>
    <w:rsid w:val="00843A5F"/>
    <w:rsid w:val="00861982"/>
    <w:rsid w:val="00861ECC"/>
    <w:rsid w:val="008624AE"/>
    <w:rsid w:val="00881F0C"/>
    <w:rsid w:val="00887EB3"/>
    <w:rsid w:val="008938B3"/>
    <w:rsid w:val="00896AA7"/>
    <w:rsid w:val="008A5178"/>
    <w:rsid w:val="008B5136"/>
    <w:rsid w:val="008D6151"/>
    <w:rsid w:val="008D7643"/>
    <w:rsid w:val="008E17E1"/>
    <w:rsid w:val="009035BB"/>
    <w:rsid w:val="00910B20"/>
    <w:rsid w:val="00923901"/>
    <w:rsid w:val="00944467"/>
    <w:rsid w:val="00950D2A"/>
    <w:rsid w:val="009609FE"/>
    <w:rsid w:val="0098113B"/>
    <w:rsid w:val="009B1353"/>
    <w:rsid w:val="009E0C3D"/>
    <w:rsid w:val="009E28A7"/>
    <w:rsid w:val="00A074CB"/>
    <w:rsid w:val="00A27AC5"/>
    <w:rsid w:val="00A30214"/>
    <w:rsid w:val="00A34D08"/>
    <w:rsid w:val="00A41D1E"/>
    <w:rsid w:val="00A44F77"/>
    <w:rsid w:val="00A62AB0"/>
    <w:rsid w:val="00A62F7D"/>
    <w:rsid w:val="00A875EA"/>
    <w:rsid w:val="00A97AE8"/>
    <w:rsid w:val="00AB4408"/>
    <w:rsid w:val="00AC5B26"/>
    <w:rsid w:val="00AC7B67"/>
    <w:rsid w:val="00AD77D3"/>
    <w:rsid w:val="00AE3F39"/>
    <w:rsid w:val="00AE4989"/>
    <w:rsid w:val="00B0600F"/>
    <w:rsid w:val="00B10E1A"/>
    <w:rsid w:val="00B16C7B"/>
    <w:rsid w:val="00B25B4E"/>
    <w:rsid w:val="00B27950"/>
    <w:rsid w:val="00B47BD2"/>
    <w:rsid w:val="00B75B3E"/>
    <w:rsid w:val="00B7746A"/>
    <w:rsid w:val="00B7782E"/>
    <w:rsid w:val="00B8087F"/>
    <w:rsid w:val="00B82DBA"/>
    <w:rsid w:val="00B839BD"/>
    <w:rsid w:val="00B9143B"/>
    <w:rsid w:val="00B950AB"/>
    <w:rsid w:val="00BC6515"/>
    <w:rsid w:val="00BC6F10"/>
    <w:rsid w:val="00BD4E9D"/>
    <w:rsid w:val="00BE2C80"/>
    <w:rsid w:val="00BE6E80"/>
    <w:rsid w:val="00BF4207"/>
    <w:rsid w:val="00BF6B92"/>
    <w:rsid w:val="00C12826"/>
    <w:rsid w:val="00C27061"/>
    <w:rsid w:val="00C42BC6"/>
    <w:rsid w:val="00CD0819"/>
    <w:rsid w:val="00CD7723"/>
    <w:rsid w:val="00CE0815"/>
    <w:rsid w:val="00CE589A"/>
    <w:rsid w:val="00CF1001"/>
    <w:rsid w:val="00CF1E16"/>
    <w:rsid w:val="00D21850"/>
    <w:rsid w:val="00D36315"/>
    <w:rsid w:val="00D80CC9"/>
    <w:rsid w:val="00D942DA"/>
    <w:rsid w:val="00D96095"/>
    <w:rsid w:val="00DA38A2"/>
    <w:rsid w:val="00DB322B"/>
    <w:rsid w:val="00DC00DA"/>
    <w:rsid w:val="00DC646D"/>
    <w:rsid w:val="00DC6679"/>
    <w:rsid w:val="00DE1786"/>
    <w:rsid w:val="00DE1AFC"/>
    <w:rsid w:val="00DF72E0"/>
    <w:rsid w:val="00E01220"/>
    <w:rsid w:val="00E04575"/>
    <w:rsid w:val="00E30DDE"/>
    <w:rsid w:val="00E4272B"/>
    <w:rsid w:val="00E454E8"/>
    <w:rsid w:val="00E47182"/>
    <w:rsid w:val="00E475F0"/>
    <w:rsid w:val="00E844AF"/>
    <w:rsid w:val="00EC7180"/>
    <w:rsid w:val="00EE0BDB"/>
    <w:rsid w:val="00EE307F"/>
    <w:rsid w:val="00F04ABE"/>
    <w:rsid w:val="00F05CCD"/>
    <w:rsid w:val="00F12613"/>
    <w:rsid w:val="00F21B85"/>
    <w:rsid w:val="00F330E1"/>
    <w:rsid w:val="00F35B41"/>
    <w:rsid w:val="00F55167"/>
    <w:rsid w:val="00F55530"/>
    <w:rsid w:val="00F57147"/>
    <w:rsid w:val="00F764BF"/>
    <w:rsid w:val="00F81B87"/>
    <w:rsid w:val="00F867DB"/>
    <w:rsid w:val="00F94D26"/>
    <w:rsid w:val="00FA691B"/>
    <w:rsid w:val="00FB127C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D6C8"/>
  <w15:chartTrackingRefBased/>
  <w15:docId w15:val="{726EAD91-1E44-41D0-920F-3CE5CC0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E0"/>
  </w:style>
  <w:style w:type="paragraph" w:styleId="Heading1">
    <w:name w:val="heading 1"/>
    <w:basedOn w:val="Normal"/>
    <w:next w:val="Normal"/>
    <w:link w:val="Heading1Char"/>
    <w:uiPriority w:val="9"/>
    <w:qFormat/>
    <w:rsid w:val="00DF72E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2E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2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2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2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2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2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2E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1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AF"/>
  </w:style>
  <w:style w:type="paragraph" w:styleId="Footer">
    <w:name w:val="footer"/>
    <w:basedOn w:val="Normal"/>
    <w:link w:val="FooterChar"/>
    <w:uiPriority w:val="99"/>
    <w:unhideWhenUsed/>
    <w:rsid w:val="00E8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AF"/>
  </w:style>
  <w:style w:type="character" w:customStyle="1" w:styleId="Heading1Char">
    <w:name w:val="Heading 1 Char"/>
    <w:basedOn w:val="DefaultParagraphFont"/>
    <w:link w:val="Heading1"/>
    <w:uiPriority w:val="9"/>
    <w:rsid w:val="00DF72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2E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2E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2E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2E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2E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2E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2E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2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72E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72E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2E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2E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F72E0"/>
    <w:rPr>
      <w:b/>
      <w:bCs/>
    </w:rPr>
  </w:style>
  <w:style w:type="character" w:styleId="Emphasis">
    <w:name w:val="Emphasis"/>
    <w:basedOn w:val="DefaultParagraphFont"/>
    <w:uiPriority w:val="20"/>
    <w:qFormat/>
    <w:rsid w:val="00DF72E0"/>
    <w:rPr>
      <w:i/>
      <w:iCs/>
      <w:color w:val="000000" w:themeColor="text1"/>
    </w:rPr>
  </w:style>
  <w:style w:type="paragraph" w:styleId="NoSpacing">
    <w:name w:val="No Spacing"/>
    <w:uiPriority w:val="1"/>
    <w:qFormat/>
    <w:rsid w:val="00DF72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72E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72E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2E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2E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72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72E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F72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72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F72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2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4F24-7F95-4E9D-8262-11FF698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رحمت اله بهرامي</dc:creator>
  <cp:keywords/>
  <dc:description/>
  <cp:lastModifiedBy>اصغر قاسمی</cp:lastModifiedBy>
  <cp:revision>2</cp:revision>
  <cp:lastPrinted>2024-12-18T05:30:00Z</cp:lastPrinted>
  <dcterms:created xsi:type="dcterms:W3CDTF">2024-12-28T09:45:00Z</dcterms:created>
  <dcterms:modified xsi:type="dcterms:W3CDTF">2024-12-28T09:45:00Z</dcterms:modified>
</cp:coreProperties>
</file>