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BA" w:rsidRDefault="009721BA" w:rsidP="009721BA">
      <w:pPr>
        <w:jc w:val="center"/>
        <w:rPr>
          <w:rFonts w:cs="2  Titr"/>
          <w:sz w:val="24"/>
          <w:szCs w:val="24"/>
          <w:rtl/>
        </w:rPr>
      </w:pPr>
      <w:r w:rsidRPr="00474A82">
        <w:rPr>
          <w:rFonts w:cs="2  Titr" w:hint="cs"/>
          <w:sz w:val="24"/>
          <w:szCs w:val="24"/>
          <w:rtl/>
        </w:rPr>
        <w:t>دكتر فطانت فرد مطرح كرد:</w:t>
      </w:r>
    </w:p>
    <w:p w:rsidR="009721BA" w:rsidRDefault="009721BA" w:rsidP="009721BA">
      <w:pPr>
        <w:jc w:val="center"/>
        <w:rPr>
          <w:rFonts w:cs="2  Titr"/>
          <w:sz w:val="24"/>
          <w:szCs w:val="24"/>
          <w:rtl/>
        </w:rPr>
      </w:pPr>
      <w:r w:rsidRPr="00474A82">
        <w:rPr>
          <w:rFonts w:cs="2  Titr" w:hint="cs"/>
          <w:sz w:val="24"/>
          <w:szCs w:val="24"/>
          <w:rtl/>
        </w:rPr>
        <w:t xml:space="preserve"> اعتبارات مهمترين عامل موفقيت در  بانك ملي ايران است</w:t>
      </w:r>
    </w:p>
    <w:p w:rsidR="009721BA" w:rsidRDefault="009721BA" w:rsidP="009721BA">
      <w:pPr>
        <w:jc w:val="center"/>
        <w:rPr>
          <w:rFonts w:cs="2  Titr"/>
          <w:sz w:val="24"/>
          <w:szCs w:val="24"/>
          <w:rtl/>
        </w:rPr>
      </w:pPr>
    </w:p>
    <w:p w:rsidR="009721BA" w:rsidRDefault="009721BA" w:rsidP="009721B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آخرين همايش سال 1392، محمد فطانت فرد، عضو هيأت مديره و معاون اعتباري و نظارت بر مصارف بانك بر اثرگذاري بخش اعتباري در سود و زيان بانك تاكيد كرد.</w:t>
      </w:r>
    </w:p>
    <w:p w:rsidR="009721BA" w:rsidRDefault="009721BA" w:rsidP="009721B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وي با اشاره به لزوم تحول اساسي در تمامي بخش هاي بانكي خصوصاً بخش اعتبارات بيان داشت: در آمدزايي و حركت رو به رشد بانك متاثر از سياست هاي موفق بانك در حوزه اعتباري است. </w:t>
      </w:r>
    </w:p>
    <w:p w:rsidR="009721BA" w:rsidRDefault="009721BA" w:rsidP="009721B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گفتني است در ابتداي اين همايش دكتر صفاري مدعو اين همايش درخصوص اصول حاكم بر موفقيت ماندگار به ايراد سخن پرداخت. </w:t>
      </w:r>
    </w:p>
    <w:p w:rsidR="009721BA" w:rsidRDefault="009721BA" w:rsidP="009721B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وي از تجربه گذشته و كسب نو آوري براي آينده به عنوان اصول اساسي موفقيت هر سازمان ياد كرد.</w:t>
      </w:r>
    </w:p>
    <w:p w:rsidR="009721BA" w:rsidRDefault="009721BA" w:rsidP="009721B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دكتر صفاري به دست مايه هاي تحقيقي خود در حوزه موفقيت اشاره كرد و افزود: براي احراز رتبه برتر در ميان رقبا بايد ضمن كسب فوت و فن هاي سازمان هاي موفق طوري برنامه ريزي كرد كه بتوان از آن ها عبور كرده و به عبارتي سرفصل هاي جديدي را براي كسب رضايت مخاطبان و مشتريان ايجاد كرد.</w:t>
      </w:r>
    </w:p>
    <w:p w:rsidR="009721BA" w:rsidRPr="00474A82" w:rsidRDefault="009721BA" w:rsidP="009721BA">
      <w:p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لازم به ذكر است در همايش مدير امور اعتباري و روساي ادارات ذيربط نيز حضور داشتند .</w:t>
      </w:r>
    </w:p>
    <w:p w:rsidR="00FA61C1" w:rsidRPr="009721BA" w:rsidRDefault="00FA61C1" w:rsidP="009721BA"/>
    <w:sectPr w:rsidR="00FA61C1" w:rsidRPr="009721BA" w:rsidSect="000951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21BA"/>
    <w:rsid w:val="00914A4D"/>
    <w:rsid w:val="009721BA"/>
    <w:rsid w:val="00FA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Central Office's Support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</dc:creator>
  <cp:keywords/>
  <dc:description/>
  <cp:lastModifiedBy>salehi</cp:lastModifiedBy>
  <cp:revision>1</cp:revision>
  <dcterms:created xsi:type="dcterms:W3CDTF">2014-03-18T14:26:00Z</dcterms:created>
  <dcterms:modified xsi:type="dcterms:W3CDTF">2014-03-18T14:27:00Z</dcterms:modified>
</cp:coreProperties>
</file>